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2C" w:rsidRPr="000A2E2C" w:rsidRDefault="000A2E2C" w:rsidP="000A2E2C">
      <w:pPr>
        <w:keepNext/>
        <w:keepLines/>
        <w:numPr>
          <w:ilvl w:val="1"/>
          <w:numId w:val="1"/>
        </w:numPr>
        <w:spacing w:before="200" w:after="0" w:line="260" w:lineRule="atLeast"/>
        <w:outlineLvl w:val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  <w:bookmarkStart w:id="0" w:name="_Toc369187994"/>
      <w:r w:rsidRPr="000A2E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  <w:t>Overzicht boorgatgegevens via operatie “</w:t>
      </w:r>
      <w:proofErr w:type="spellStart"/>
      <w:r w:rsidRPr="000A2E2C"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  <w:t>leverStratdetails</w:t>
      </w:r>
      <w:proofErr w:type="spellEnd"/>
      <w:r w:rsidRPr="000A2E2C"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  <w:t>”</w:t>
      </w:r>
      <w:bookmarkEnd w:id="0"/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W w:w="73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43"/>
        <w:gridCol w:w="3391"/>
        <w:gridCol w:w="1647"/>
      </w:tblGrid>
      <w:tr w:rsidR="000A2E2C" w:rsidRPr="000A2E2C" w:rsidTr="003B556A">
        <w:trPr>
          <w:trHeight w:val="164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Attribuutnaam in XSD file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0A2E2C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Attribuutnaam</w:t>
            </w:r>
            <w:proofErr w:type="spellEnd"/>
            <w:r w:rsidRPr="000A2E2C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 xml:space="preserve"> in TNO DINO-BRH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Confidentieel 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nummer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NITG_NR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boortraject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WELLBORE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stelselnaam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STELSEL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boorgatBron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DATA_SOURCE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toplaag_AH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TOP_AH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basislaag_AH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BOTTOM_AH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verticaleDiepte_toplaag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TV_TOP_NAP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verticaleDiepte_basislaag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TV_BOTTOM_NAP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dikteLaag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TV_THICKNESS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stratcode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STRAT_UNIT_CD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stratnaam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STRAT_UNIT_NM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anomaliecode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ANOMALY_CD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toplaag_x_UTM31_ED50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X_TOP_UTM31_ED50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toplaag_y_UTM31_ED50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Y_TOP_UTM31_ED50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basislaag_x_UTM31_ED50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X_BOTTOM_UTM31_ED50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basislaag_y_UTM31_ED50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Y_BOTTOM_UTM31_ED50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toplaag_x_RD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X_TOP_RD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toplaag_y_RD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Y_TOP_RD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basislaag_x_RD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X_BOTTOM_RD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basislaag_y_RD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Y_BOTTOM_RD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toplaag_x_UTM31_WGS84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X_TOP_UTM31_WGS84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toplaag_y_UTM31_WGS84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Y_TOP_UTM31_WGS84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basislaag_x_UTM31_WGS84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X_BOTTOM_UTM31_WGS84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basislaag_y_UTM31_WGS84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Y_BOTTOM_UTM31_WGS84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  <w:tr w:rsidR="000A2E2C" w:rsidRPr="000A2E2C" w:rsidTr="003B556A">
        <w:trPr>
          <w:trHeight w:val="156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stratBron</w:t>
            </w:r>
            <w:proofErr w:type="spellEnd"/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</w:rPr>
              <w:t>STRAT_SOURCE_CD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64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landcode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COUNTRY_CD</w:t>
            </w:r>
          </w:p>
        </w:tc>
        <w:tc>
          <w:tcPr>
            <w:tcW w:w="165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62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vertrouwelijkheid</w:t>
            </w:r>
          </w:p>
        </w:tc>
        <w:tc>
          <w:tcPr>
            <w:tcW w:w="340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0A2E2C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CONFIDENTIALITY_CD</w:t>
            </w:r>
          </w:p>
        </w:tc>
        <w:tc>
          <w:tcPr>
            <w:tcW w:w="165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Nee</w:t>
            </w:r>
          </w:p>
        </w:tc>
      </w:tr>
      <w:tr w:rsidR="000A2E2C" w:rsidRPr="000A2E2C" w:rsidTr="003B556A">
        <w:trPr>
          <w:trHeight w:val="62"/>
        </w:trPr>
        <w:tc>
          <w:tcPr>
            <w:tcW w:w="23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0A2E2C">
              <w:rPr>
                <w:rFonts w:eastAsia="Times New Roman" w:cstheme="minorHAnsi"/>
                <w:color w:val="000000"/>
                <w:sz w:val="20"/>
                <w:szCs w:val="20"/>
              </w:rPr>
              <w:t>mutatieDatum</w:t>
            </w:r>
            <w:proofErr w:type="spellEnd"/>
          </w:p>
        </w:tc>
        <w:tc>
          <w:tcPr>
            <w:tcW w:w="340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0A2E2C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LAST_UPDATED</w:t>
            </w:r>
          </w:p>
        </w:tc>
        <w:tc>
          <w:tcPr>
            <w:tcW w:w="165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A2E2C" w:rsidRPr="000A2E2C" w:rsidRDefault="000A2E2C" w:rsidP="000A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2E2C">
              <w:rPr>
                <w:rFonts w:eastAsia="Times New Roman" w:cstheme="minorHAnsi"/>
                <w:color w:val="000000"/>
                <w:sz w:val="18"/>
                <w:szCs w:val="18"/>
              </w:rPr>
              <w:t>Ja</w:t>
            </w:r>
          </w:p>
        </w:tc>
      </w:tr>
    </w:tbl>
    <w:p w:rsidR="000A2E2C" w:rsidRPr="000A2E2C" w:rsidRDefault="000A2E2C" w:rsidP="000A2E2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color w:val="000000"/>
          <w:sz w:val="20"/>
          <w:szCs w:val="20"/>
        </w:rPr>
      </w:pPr>
      <w:r w:rsidRPr="000A2E2C">
        <w:rPr>
          <w:rFonts w:eastAsia="Times New Roman" w:cstheme="minorHAnsi"/>
          <w:b/>
          <w:color w:val="000000"/>
          <w:sz w:val="20"/>
          <w:szCs w:val="20"/>
        </w:rPr>
        <w:t>Tabel 3</w:t>
      </w:r>
      <w:r w:rsidRPr="000A2E2C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0A2E2C">
        <w:rPr>
          <w:rFonts w:eastAsia="Times New Roman" w:cstheme="minorHAnsi"/>
          <w:i/>
          <w:color w:val="000000"/>
          <w:sz w:val="20"/>
          <w:szCs w:val="20"/>
        </w:rPr>
        <w:t>overzicht van namen van attributen in de XSD file, die worden geleverd door de operatie</w:t>
      </w:r>
      <w:r w:rsidRPr="000A2E2C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0A2E2C">
        <w:rPr>
          <w:rFonts w:eastAsia="Times New Roman" w:cstheme="minorHAnsi"/>
          <w:i/>
          <w:color w:val="000000"/>
          <w:sz w:val="20"/>
          <w:szCs w:val="20"/>
        </w:rPr>
        <w:t>leverStratdetails</w:t>
      </w:r>
      <w:proofErr w:type="spellEnd"/>
      <w:r w:rsidRPr="000A2E2C">
        <w:rPr>
          <w:rFonts w:eastAsia="Times New Roman" w:cstheme="minorHAnsi"/>
          <w:i/>
          <w:color w:val="000000"/>
          <w:sz w:val="20"/>
          <w:szCs w:val="20"/>
        </w:rPr>
        <w:t xml:space="preserve">”. De bijbehorende naam ervan in TNO DINO-BRH staat ernaast, samen met de informatie of het attribuut al dan niet confidentieel is. </w:t>
      </w: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p w:rsidR="000A2E2C" w:rsidRPr="000A2E2C" w:rsidRDefault="000A2E2C" w:rsidP="000A2E2C">
      <w:pPr>
        <w:spacing w:after="0" w:line="240" w:lineRule="auto"/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</w:pPr>
      <w:r w:rsidRPr="000A2E2C">
        <w:rPr>
          <w:rFonts w:eastAsia="Arial Unicode MS" w:cstheme="minorHAnsi"/>
          <w:sz w:val="20"/>
          <w:szCs w:val="20"/>
        </w:rPr>
        <w:br w:type="page"/>
      </w:r>
    </w:p>
    <w:p w:rsidR="000A2E2C" w:rsidRPr="000A2E2C" w:rsidRDefault="000A2E2C" w:rsidP="000A2E2C">
      <w:pPr>
        <w:keepNext/>
        <w:keepLines/>
        <w:numPr>
          <w:ilvl w:val="1"/>
          <w:numId w:val="1"/>
        </w:numPr>
        <w:spacing w:before="200" w:after="0" w:line="260" w:lineRule="atLeast"/>
        <w:outlineLvl w:val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  <w:bookmarkStart w:id="1" w:name="_Toc369187995"/>
      <w:r w:rsidRPr="000A2E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  <w:lastRenderedPageBreak/>
        <w:t>Beschrijving boorgatgegevens via operatie “</w:t>
      </w:r>
      <w:proofErr w:type="spellStart"/>
      <w:r w:rsidRPr="000A2E2C"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  <w:t>leverStratdetails</w:t>
      </w:r>
      <w:proofErr w:type="spellEnd"/>
      <w:r w:rsidRPr="000A2E2C"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  <w:t>”</w:t>
      </w:r>
      <w:bookmarkEnd w:id="1"/>
      <w:r w:rsidRPr="000A2E2C">
        <w:rPr>
          <w:rFonts w:eastAsiaTheme="majorEastAsia" w:cstheme="minorHAnsi"/>
          <w:b/>
          <w:bCs/>
          <w:color w:val="365F91" w:themeColor="accent1" w:themeShade="BF"/>
          <w:sz w:val="20"/>
          <w:szCs w:val="26"/>
        </w:rPr>
        <w:t xml:space="preserve"> </w:t>
      </w:r>
      <w:r w:rsidRPr="000A2E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  <w:t xml:space="preserve"> </w:t>
      </w: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  <w:r w:rsidRPr="000A2E2C">
        <w:rPr>
          <w:rFonts w:ascii="Arial" w:eastAsia="Arial Unicode MS" w:hAnsi="Arial" w:cs="Times New Roman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Times New Roman" w:cs="Calibri"/>
                <w:b/>
                <w:bCs/>
                <w:color w:val="4F81BD" w:themeColor="accent1"/>
                <w:sz w:val="20"/>
                <w:szCs w:val="20"/>
                <w:lang w:eastAsia="nl-NL"/>
              </w:rPr>
              <w:t>nummer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40" w:lineRule="auto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Times New Roman" w:cs="Calibri"/>
                <w:b/>
                <w:bCs/>
                <w:sz w:val="20"/>
                <w:szCs w:val="20"/>
                <w:lang w:eastAsia="nl-NL"/>
              </w:rPr>
              <w:t>[NITG_NR]</w:t>
            </w:r>
          </w:p>
        </w:tc>
      </w:tr>
      <w:tr w:rsidR="000A2E2C" w:rsidRPr="000A2E2C" w:rsidTr="003B556A">
        <w:trPr>
          <w:trHeight w:val="2116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nl-NL"/>
              </w:rPr>
            </w:pPr>
            <w:r w:rsidRPr="000A2E2C">
              <w:rPr>
                <w:rFonts w:eastAsia="Times New Roman" w:cs="Calibri"/>
                <w:bCs/>
                <w:sz w:val="20"/>
                <w:szCs w:val="20"/>
                <w:lang w:eastAsia="nl-NL"/>
              </w:rPr>
              <w:t>Is het unieke boorgat identificatienummer, deze is gelijk aan het NITG-nummer in TNO DINO-BRH</w:t>
            </w:r>
          </w:p>
          <w:p w:rsidR="000A2E2C" w:rsidRPr="000A2E2C" w:rsidRDefault="000A2E2C" w:rsidP="000A2E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nl-NL"/>
              </w:rPr>
            </w:pPr>
          </w:p>
          <w:p w:rsidR="000A2E2C" w:rsidRPr="000A2E2C" w:rsidRDefault="000A2E2C" w:rsidP="000A2E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nl-NL"/>
              </w:rPr>
            </w:pPr>
            <w:r w:rsidRPr="000A2E2C">
              <w:rPr>
                <w:rFonts w:eastAsia="Times New Roman" w:cs="Calibri"/>
                <w:bCs/>
                <w:sz w:val="20"/>
                <w:szCs w:val="20"/>
                <w:lang w:eastAsia="nl-NL"/>
              </w:rPr>
              <w:t xml:space="preserve">Voor </w:t>
            </w:r>
            <w:proofErr w:type="spellStart"/>
            <w:r w:rsidRPr="000A2E2C">
              <w:rPr>
                <w:rFonts w:eastAsia="Times New Roman" w:cs="Calibri"/>
                <w:bCs/>
                <w:sz w:val="20"/>
                <w:szCs w:val="20"/>
                <w:lang w:eastAsia="nl-NL"/>
              </w:rPr>
              <w:t>on-shore</w:t>
            </w:r>
            <w:proofErr w:type="spellEnd"/>
            <w:r w:rsidRPr="000A2E2C">
              <w:rPr>
                <w:rFonts w:eastAsia="Times New Roman" w:cs="Calibri"/>
                <w:bCs/>
                <w:sz w:val="20"/>
                <w:szCs w:val="20"/>
                <w:lang w:eastAsia="nl-NL"/>
              </w:rPr>
              <w:t xml:space="preserve"> bestaat het NITG-nummer uit een kaartbladgedeelte, bijvoorbeeld B02D (= standaard kaartblad indeling volgens de NAM) en een volgnummer. Het nummer komt er dan bijvoorbeeld uit te zien als B02D0056.</w:t>
            </w:r>
          </w:p>
          <w:p w:rsidR="000A2E2C" w:rsidRPr="000A2E2C" w:rsidRDefault="000A2E2C" w:rsidP="000A2E2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nl-NL"/>
              </w:rPr>
            </w:pPr>
          </w:p>
          <w:p w:rsidR="000A2E2C" w:rsidRPr="000A2E2C" w:rsidRDefault="000A2E2C" w:rsidP="000A2E2C">
            <w:pPr>
              <w:spacing w:after="0" w:line="240" w:lineRule="auto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Times New Roman" w:cs="Calibri"/>
                <w:bCs/>
                <w:sz w:val="20"/>
                <w:szCs w:val="20"/>
                <w:lang w:eastAsia="nl-NL"/>
              </w:rPr>
              <w:t>Voor offshore is de opbouw iets anders, als voorbeeld het NITG-nummer BF060115. Hierbij is B = B-file; F06 = bloknummer; 01 = boorgatnummer; 15 = volgnummer.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sz w:val="20"/>
                <w:szCs w:val="20"/>
              </w:rPr>
              <w:t>Het</w:t>
            </w:r>
            <w:r w:rsidRPr="000A2E2C">
              <w:rPr>
                <w:rFonts w:eastAsia="Times New Roman" w:cs="Calibri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0A2E2C">
              <w:rPr>
                <w:rFonts w:eastAsia="Times New Roman" w:cs="Calibri"/>
                <w:b/>
                <w:bCs/>
                <w:color w:val="4F81BD" w:themeColor="accent1"/>
                <w:sz w:val="20"/>
                <w:szCs w:val="20"/>
                <w:lang w:eastAsia="nl-NL"/>
              </w:rPr>
              <w:t>nummer</w:t>
            </w:r>
            <w:r w:rsidRPr="000A2E2C">
              <w:rPr>
                <w:rFonts w:eastAsia="Arial Unicode MS" w:cs="Times New Roman"/>
                <w:color w:val="4F81BD" w:themeColor="accent1"/>
                <w:sz w:val="20"/>
                <w:szCs w:val="20"/>
              </w:rPr>
              <w:t xml:space="preserve"> </w:t>
            </w:r>
            <w:r w:rsidRPr="000A2E2C">
              <w:rPr>
                <w:rFonts w:eastAsia="Arial Unicode MS" w:cs="Times New Roman"/>
                <w:sz w:val="20"/>
                <w:szCs w:val="20"/>
              </w:rPr>
              <w:t>bevat geen vooraf gedefinieerde waarden in DINO.</w:t>
            </w: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boortraject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WELLBORE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De naam het de side-track of moederboorgat, waar het boortraject begint. Het boortraject is de route tussen oppervlakte locatie van het boorgat en het eindpunt van een side-track en/of moederboorgat. Er bestaan meer dan een boortraject in een boorgatstelsel met meer dan een side track. 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Het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 boortraject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is de naam van de side-track en/of moederboorgat.</w:t>
            </w:r>
          </w:p>
        </w:tc>
      </w:tr>
    </w:tbl>
    <w:p w:rsidR="000A2E2C" w:rsidRPr="000A2E2C" w:rsidRDefault="000A2E2C" w:rsidP="000A2E2C">
      <w:pPr>
        <w:spacing w:after="0" w:line="240" w:lineRule="auto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stelselnaam 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STELSEL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De naam van het boorgatstelsel. Het boorgatstelsel is het </w:t>
            </w:r>
            <w:r w:rsidRPr="000A2E2C">
              <w:rPr>
                <w:rFonts w:eastAsia="Arial Unicode MS" w:cs="Times New Roman"/>
                <w:sz w:val="20"/>
                <w:szCs w:val="20"/>
              </w:rPr>
              <w:t xml:space="preserve"> totaal van met elkaar verbonden boorgaten waarvan één vanaf het aardoppervlak.</w:t>
            </w:r>
            <w:r w:rsidRPr="000A2E2C">
              <w:rPr>
                <w:rFonts w:ascii="Arial" w:eastAsia="Arial Unicode MS" w:hAnsi="Arial" w:cs="Times New Roman"/>
                <w:sz w:val="20"/>
                <w:szCs w:val="20"/>
              </w:rPr>
              <w:t xml:space="preserve">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stelselnaam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is de naam van het</w:t>
            </w: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boorgatstelsel, dat gelijk is aan de naam van het moederboorgat.</w:t>
            </w:r>
          </w:p>
        </w:tc>
      </w:tr>
    </w:tbl>
    <w:p w:rsidR="000A2E2C" w:rsidRPr="000A2E2C" w:rsidRDefault="000A2E2C" w:rsidP="000A2E2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boorgatBron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DATA_SOURCE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sz w:val="20"/>
                <w:szCs w:val="20"/>
              </w:rPr>
              <w:t>De naam van een boorgat, dat een onderdeel is van een boortraject. Een boortraject kan door meerdere boorgaten lopen en kan dus zijn data verkrijgen uit meerdere boorgaten.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</w:t>
            </w: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boorgatBron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de naam van het</w:t>
            </w: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boorgat, dat onderdeel is van het boortraject.</w:t>
            </w: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theme="minorHAnsi"/>
                <w:b/>
                <w:color w:val="4F81BD" w:themeColor="accent1"/>
                <w:sz w:val="20"/>
                <w:szCs w:val="20"/>
              </w:rPr>
              <w:t>toplaag_AH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TOP_AH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De afstand in meters langs het boortraject vanaf het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 dieptereferentiepunt</w:t>
            </w: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naar de bovenste laag van een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theme="minorHAnsi"/>
                <w:b/>
                <w:color w:val="4F81BD" w:themeColor="accent1"/>
                <w:sz w:val="20"/>
                <w:szCs w:val="20"/>
              </w:rPr>
              <w:t>basislaag_AH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BOTTOM_AH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De afstand in meters langs het boortraject vanaf het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 dieptereferentiepunt</w:t>
            </w: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naar de onderste laag van een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verticaleDiepte_toplaag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TV_TOP_NAP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De afstand in meters langs de verticaal vanaf de oppervlakte naar de bovenste laag van een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Voor boorgaten op zee geldt MSL als oppervlakte en voor boorgaten op land geldt NAP als oppervlakte. 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verticaleDiepte_basislaag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[TV_BOTTOM_NAP]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De afstand in meters langs de verticaal vanaf de oppervlakte naar de onderste laag van een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Voor boorgaten op zee geldt MSL als oppervlakte en voor boorgaten op land geldt NAP als oppervlakte. 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dikteLaag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ascii="Arial" w:eastAsia="Arial Unicode MS" w:hAnsi="Arial" w:cs="Times New Roman"/>
                <w:b/>
                <w:sz w:val="18"/>
                <w:szCs w:val="18"/>
              </w:rPr>
              <w:t>TV_THICKNESS</w:t>
            </w: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Afstand in meters gemeten langs de verticaal tussen de bovenste en de onderste laag van dezelfde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stratcode</w:t>
            </w:r>
            <w:proofErr w:type="spellEnd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[STRAT_UNIT_CD]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Code voor de duiding van de stratigrafie. Aan de code is een naam gekoppeld van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De code is conform de “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Stratigraphic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Nomen-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clature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of The Netherlands”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Nederlandse Aardolie Maatschappij B.V. (NAM)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Rijks Geologische Dienst (RGD)”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stratcode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voor gedefinieerd in DINO DINO-BRH.</w:t>
            </w:r>
          </w:p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Zie voor een volledige lijst: </w:t>
            </w:r>
            <w:r w:rsidRPr="000A2E2C">
              <w:rPr>
                <w:rFonts w:ascii="Arial" w:eastAsia="Arial Unicode MS" w:hAnsi="Arial" w:cs="Times New Roman"/>
                <w:sz w:val="20"/>
                <w:szCs w:val="20"/>
              </w:rPr>
              <w:t xml:space="preserve"> 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>http://www.dinoloket.nl/nomenclator</w:t>
            </w: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stratnaam</w:t>
            </w:r>
            <w:proofErr w:type="spellEnd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[STRAT_UNIT_NM]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Naam van de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stratigrafische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eenheid. De naam is conform de “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Stratigraphic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Nomen-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clature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of The Netherlands”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by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Nederlandse Aardolie Maatschappij B.V. (NAM)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0A2E2C">
              <w:rPr>
                <w:rFonts w:eastAsia="Arial Unicode MS" w:cs="Arial"/>
                <w:color w:val="000000"/>
                <w:sz w:val="20"/>
                <w:szCs w:val="20"/>
                <w:shd w:val="clear" w:color="auto" w:fill="FFFFFF"/>
              </w:rPr>
              <w:t xml:space="preserve"> Rijks Geologische Dienst (RGD)”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stratnaam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voor gedefinieerd in TNO DINO-BRH via de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 </w:t>
            </w: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stratcode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. </w:t>
            </w:r>
          </w:p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Zie voor een volledige lijst: </w:t>
            </w:r>
            <w:r w:rsidRPr="000A2E2C">
              <w:rPr>
                <w:rFonts w:ascii="Arial" w:eastAsia="Arial Unicode MS" w:hAnsi="Arial" w:cs="Times New Roman"/>
                <w:sz w:val="20"/>
                <w:szCs w:val="20"/>
              </w:rPr>
              <w:t xml:space="preserve"> 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>http://www.dinoloket.nl/nomenclator</w:t>
            </w: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anomaliecode*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[ANOMALY_CD]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Geïnterpreteerde afwijkingen in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Deze code wordt meegegeven indien er iets bijzonders aan de hand is.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  <w:highlight w:val="yellow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anomaliecode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voor gedefinieerd in DINO DINO-BRH.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TD  (Total Depth: layer was not penetrated)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UU  (Upper boundary is an unconformity)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LU  (Lower boundary is an unconformity)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UF  (Upper boundary is a fault)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LF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 (Lower boundary is a fault)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(Fault present within the layer)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(Upper boundary is uncertain)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L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(Lower boundary is uncertain)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UU_LF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>(Upper boundary is an unconformity; lower boundary is a fault)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UU_TD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>(Upper boundary is an unconformity; total depth: layer was not penetrated)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UF_LF (Upper boundary is a fault; lower boundary is a fault)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UF_TD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>(Upper boundary is a fault; total depth: layer was not penetrated)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LF_F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(Lower boundary is a fault; fault is present within the layer)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U_L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>(Upper boundary is uncertain; lower boundary is uncertain)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U_LF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(Upper boundary is uncertain; lower boundary is a fault)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TD_F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(Total Depth: layer was not penetrated; fault is present within the layer)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LKO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>(Lower boundary is kick-off depth)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UKO_TD (Upper boundary is kick-off depth; total depth: layer was not penetrated)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lastRenderedPageBreak/>
              <w:t>UKO</w:t>
            </w: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ab/>
              <w:t xml:space="preserve"> (Upper boundary is kick-off depth)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  <w:lang w:val="en-US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UU_L (Upper boundary is an unconformity; Lower boundary is uncertain)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  <w:lang w:val="en-US"/>
              </w:rPr>
              <w:t>IU  (Intra formation unconformity)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toplaag_x_UTM31_ED50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[X_TOP_UTM31_ED50]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X-coördinaat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ED50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  <w:highlight w:val="red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toplaag_y_UTM31_ED50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[Y_TOP_UTM31_ED50]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ED50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basislaag_x_UTM31_ED50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[X_BOTTOM_UTM31_ED50]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tabs>
                <w:tab w:val="left" w:pos="1127"/>
              </w:tabs>
              <w:spacing w:after="0" w:line="260" w:lineRule="atLeast"/>
              <w:jc w:val="both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X-coördinaat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ED50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basislaag_y_UTM31_ED50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[Y_BOTTOM_UTM31_ED50]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tabs>
                <w:tab w:val="left" w:pos="2216"/>
              </w:tabs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ED50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toplaag_x_RD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[X_TOP_RD]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X-coördinaat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Rijksdriehoek coördinatensysteem. Het  Rijksdriehoek coördinatensysteem is alleen geldig op het vaste land van Nederland en in de kustzone.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toplaag_y_RD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[Y_TOP_RD]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Rijksdriehoek coördinatensysteem. Het  Rijksdriehoek coördinatensysteem is alleen geldig op het vaste land van Nederland en in de kustzone.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basislaag_x_RD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[X_BOTTOM_RD]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lastRenderedPageBreak/>
              <w:t xml:space="preserve">X-coördinaat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Rijksdriehoek coördinatensysteem. Het  Rijksdriehoek coördinatensysteem is alleen geldig op het vaste land van Nederland en in de kustzone.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basislaag_y_RD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[Y_BOTTOM_RD]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Rijksdriehoek coördinatensysteem. Het  Rijksdriehoek coördinatensysteem is alleen geldig op het vaste land van Nederland en in de kustzone.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toplaag_x_UTM31_WGS84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[X_TOP_UTM31_WGS84]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X-coördinaat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WGS 84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toplaag_y_UTM31_WGS84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[Y_TOP_UTM31_WGS84]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bovenste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WGS 84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basislaag_x_UTM31_WGS84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[X_BOTTOM_UTM31_WGS84]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X-coördinaat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x-coördinaat is uitgedrukt in het WGS 84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basislaag_y_UTM31_WGS84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[Y_BOTTOM_UTM31_WGS84]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Y-coördinaat van de positie, die wordt gevormd door het snijden van het boortraject met een onderste laag van een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eenheid. De y-coördinaat is uitgedrukt in het WGS 84 coördinatensysteem in het platte vlak via een UTM 31 projectie.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60" w:lineRule="atLeast"/>
        <w:rPr>
          <w:rFonts w:ascii="Arial" w:eastAsia="Arial Unicode MS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stratBron</w:t>
            </w:r>
            <w:proofErr w:type="spellEnd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[STRAT_SOURCE_CD]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Dit is de naam van de bron, die gebruikt is voor de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stratigrafische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interpretatie. TNO of maatschappij </w:t>
            </w:r>
            <w:proofErr w:type="spellStart"/>
            <w:r w:rsidRPr="000A2E2C">
              <w:rPr>
                <w:rFonts w:eastAsia="Arial Unicode MS" w:cs="Times New Roman"/>
                <w:sz w:val="20"/>
                <w:szCs w:val="24"/>
              </w:rPr>
              <w:t>interpretative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(EINDSLIP)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 xml:space="preserve"> </w:t>
            </w: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stratBron</w:t>
            </w:r>
            <w:proofErr w:type="spellEnd"/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is voor gedefinieerd in DINO DINO-BRH: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GE-KART 2010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DIEPE ONDERGROND)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GBLOK2010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- G10/11/13-BLOKKEN – 2006)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GE-KART 2011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2011)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ONSHORE2004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- ONSHORE 2004)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RGD1997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- RGD – 1997)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KDNZHOL2011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– NOORD- ZUID HOLLAND 2011)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lastRenderedPageBreak/>
              <w:t>EINDSLIP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(EINDSLIP)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OFFSHORE2010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- OFFSHORE 2010)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GE-KRT2012QC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2012 (QC))</w:t>
            </w:r>
          </w:p>
          <w:p w:rsidR="000A2E2C" w:rsidRPr="000A2E2C" w:rsidRDefault="000A2E2C" w:rsidP="000A2E2C">
            <w:pPr>
              <w:numPr>
                <w:ilvl w:val="0"/>
                <w:numId w:val="4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GE-KRT2013QC</w:t>
            </w: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ab/>
              <w:t>(KARTERING DIEP 2013 (QC))</w:t>
            </w:r>
          </w:p>
          <w:p w:rsidR="000A2E2C" w:rsidRPr="000A2E2C" w:rsidRDefault="000A2E2C" w:rsidP="000A2E2C">
            <w:pPr>
              <w:spacing w:after="0" w:line="260" w:lineRule="atLeast"/>
              <w:ind w:left="360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landcode*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eastAsia="Arial Unicode MS" w:cstheme="minorHAnsi"/>
                <w:b/>
                <w:sz w:val="20"/>
                <w:szCs w:val="20"/>
              </w:rPr>
              <w:t>COUNTRY_CD</w:t>
            </w:r>
            <w:r w:rsidRPr="000A2E2C">
              <w:rPr>
                <w:rFonts w:eastAsia="Arial Unicode MS" w:cstheme="minorHAnsi"/>
                <w:b/>
                <w:sz w:val="18"/>
                <w:szCs w:val="18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Een code, die aangeeft of een de oppervlaktelocatie van het boorgat(stelsel) zich bevindt op het vaste land van Nederland of in het NCP of en een ander land. 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landcode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voor gedefinieerd in TNO DINO-BRH: 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 xml:space="preserve">BEL (België) 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DEU (Duitsland)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DNK (Denemarken)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FRA (Frankrijk)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GBR (Groot Brittannië)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LUX (Luxemburg)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i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NLD (Nederland)</w:t>
            </w:r>
          </w:p>
          <w:p w:rsidR="000A2E2C" w:rsidRPr="000A2E2C" w:rsidRDefault="000A2E2C" w:rsidP="000A2E2C">
            <w:pPr>
              <w:numPr>
                <w:ilvl w:val="0"/>
                <w:numId w:val="2"/>
              </w:numPr>
              <w:spacing w:after="0" w:line="260" w:lineRule="atLeast"/>
              <w:contextualSpacing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i/>
                <w:sz w:val="20"/>
                <w:szCs w:val="24"/>
              </w:rPr>
              <w:t>NOR (Noorwegen)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</w:t>
            </w:r>
          </w:p>
        </w:tc>
      </w:tr>
    </w:tbl>
    <w:p w:rsidR="000A2E2C" w:rsidRPr="000A2E2C" w:rsidRDefault="000A2E2C" w:rsidP="000A2E2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vertrouwelijkheid*</w:t>
            </w:r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  <w:lang w:val="en-US"/>
              </w:rPr>
            </w:pPr>
            <w:r w:rsidRPr="000A2E2C">
              <w:rPr>
                <w:rFonts w:ascii="Arial" w:eastAsia="Arial Unicode MS" w:hAnsi="Arial" w:cs="Times New Roman"/>
                <w:sz w:val="20"/>
                <w:szCs w:val="20"/>
                <w:lang w:val="en-US"/>
              </w:rPr>
              <w:t xml:space="preserve"> </w:t>
            </w:r>
            <w:r w:rsidRPr="000A2E2C">
              <w:rPr>
                <w:rFonts w:eastAsia="Arial Unicode MS" w:cs="Times New Roman"/>
                <w:b/>
                <w:sz w:val="20"/>
                <w:szCs w:val="20"/>
                <w:lang w:val="en-US"/>
              </w:rPr>
              <w:t>[CONFIDENTIALITY_CD]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>Een code, die aangeeft of een boorgat en gerelateerde gegevens publieke zijn of confidentieel</w:t>
            </w:r>
          </w:p>
        </w:tc>
      </w:tr>
      <w:tr w:rsidR="000A2E2C" w:rsidRPr="000A2E2C" w:rsidTr="003B556A">
        <w:trPr>
          <w:trHeight w:val="966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De waarde van de </w:t>
            </w:r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vertrouwelijkheid</w:t>
            </w:r>
            <w:r w:rsidRPr="000A2E2C">
              <w:rPr>
                <w:rFonts w:eastAsia="Arial Unicode MS" w:cs="Times New Roman"/>
                <w:sz w:val="20"/>
                <w:szCs w:val="24"/>
              </w:rPr>
              <w:t xml:space="preserve">  is voor gedefinieerd in DINO. De waarden van dit attribuut zijn:</w:t>
            </w:r>
          </w:p>
          <w:tbl>
            <w:tblPr>
              <w:tblW w:w="3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0A2E2C" w:rsidRPr="000A2E2C" w:rsidTr="003B556A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0A2E2C" w:rsidRPr="000A2E2C" w:rsidRDefault="000A2E2C" w:rsidP="000A2E2C">
                  <w:pPr>
                    <w:framePr w:hSpace="141" w:wrap="around" w:vAnchor="text" w:hAnchor="margin" w:y="101"/>
                    <w:numPr>
                      <w:ilvl w:val="0"/>
                      <w:numId w:val="3"/>
                    </w:numPr>
                    <w:spacing w:after="0" w:line="260" w:lineRule="atLeast"/>
                    <w:contextualSpacing/>
                    <w:rPr>
                      <w:rFonts w:ascii="Calibri" w:eastAsia="Arial Unicode MS" w:hAnsi="Calibri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0A2E2C">
                    <w:rPr>
                      <w:rFonts w:ascii="Calibri" w:eastAsia="Arial Unicode MS" w:hAnsi="Calibri" w:cs="Times New Roman"/>
                      <w:i/>
                      <w:color w:val="000000"/>
                      <w:sz w:val="20"/>
                      <w:szCs w:val="20"/>
                    </w:rPr>
                    <w:t>PUB (publiek)</w:t>
                  </w:r>
                </w:p>
                <w:p w:rsidR="000A2E2C" w:rsidRPr="000A2E2C" w:rsidRDefault="000A2E2C" w:rsidP="000A2E2C">
                  <w:pPr>
                    <w:framePr w:hSpace="141" w:wrap="around" w:vAnchor="text" w:hAnchor="margin" w:y="101"/>
                    <w:numPr>
                      <w:ilvl w:val="0"/>
                      <w:numId w:val="3"/>
                    </w:numPr>
                    <w:spacing w:after="0" w:line="260" w:lineRule="atLeast"/>
                    <w:contextualSpacing/>
                    <w:rPr>
                      <w:rFonts w:ascii="Calibri" w:eastAsia="Arial Unicode MS" w:hAnsi="Calibri" w:cs="Times New Roman"/>
                      <w:i/>
                      <w:color w:val="000000"/>
                    </w:rPr>
                  </w:pPr>
                  <w:r w:rsidRPr="000A2E2C">
                    <w:rPr>
                      <w:rFonts w:ascii="Calibri" w:eastAsia="Arial Unicode MS" w:hAnsi="Calibri" w:cs="Times New Roman"/>
                      <w:i/>
                      <w:color w:val="000000"/>
                      <w:sz w:val="20"/>
                      <w:szCs w:val="20"/>
                    </w:rPr>
                    <w:t>CON (confidentieel)</w:t>
                  </w:r>
                </w:p>
              </w:tc>
            </w:tr>
          </w:tbl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</w:p>
    <w:tbl>
      <w:tblPr>
        <w:tblpPr w:leftFromText="141" w:rightFromText="141" w:vertAnchor="text" w:horzAnchor="margin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6234"/>
      </w:tblGrid>
      <w:tr w:rsidR="000A2E2C" w:rsidRPr="000A2E2C" w:rsidTr="003B556A">
        <w:trPr>
          <w:trHeight w:val="279"/>
        </w:trPr>
        <w:tc>
          <w:tcPr>
            <w:tcW w:w="2838" w:type="dxa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0"/>
              </w:rPr>
            </w:pPr>
            <w:proofErr w:type="spellStart"/>
            <w:r w:rsidRPr="000A2E2C">
              <w:rPr>
                <w:rFonts w:eastAsia="Arial Unicode MS" w:cs="Times New Roman"/>
                <w:b/>
                <w:color w:val="4F81BD" w:themeColor="accent1"/>
                <w:sz w:val="20"/>
                <w:szCs w:val="24"/>
              </w:rPr>
              <w:t>mutatieDatum</w:t>
            </w:r>
            <w:proofErr w:type="spellEnd"/>
          </w:p>
        </w:tc>
        <w:tc>
          <w:tcPr>
            <w:tcW w:w="6234" w:type="dxa"/>
            <w:shd w:val="clear" w:color="auto" w:fill="auto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b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b/>
                <w:sz w:val="20"/>
                <w:szCs w:val="24"/>
              </w:rPr>
              <w:t>[</w:t>
            </w:r>
            <w:r w:rsidRPr="000A2E2C">
              <w:rPr>
                <w:rFonts w:eastAsia="Arial Unicode MS" w:cstheme="minorHAnsi"/>
                <w:b/>
                <w:sz w:val="20"/>
                <w:szCs w:val="20"/>
              </w:rPr>
              <w:t>LAST_UPDATED</w:t>
            </w:r>
            <w:r w:rsidRPr="000A2E2C">
              <w:rPr>
                <w:rFonts w:eastAsia="Arial Unicode MS" w:cstheme="minorHAnsi"/>
                <w:b/>
                <w:sz w:val="18"/>
                <w:szCs w:val="18"/>
              </w:rPr>
              <w:t>]</w:t>
            </w:r>
          </w:p>
        </w:tc>
      </w:tr>
      <w:tr w:rsidR="000A2E2C" w:rsidRPr="000A2E2C" w:rsidTr="003B556A">
        <w:trPr>
          <w:trHeight w:val="43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  <w:r w:rsidRPr="000A2E2C">
              <w:rPr>
                <w:rFonts w:eastAsia="Arial Unicode MS" w:cs="Times New Roman"/>
                <w:sz w:val="20"/>
                <w:szCs w:val="20"/>
              </w:rPr>
              <w:t>De datum en het tijdstip waarop een de meest recente mutatie in een van de attributen in tabel 2 is doorgevoerd.</w:t>
            </w:r>
          </w:p>
        </w:tc>
      </w:tr>
      <w:tr w:rsidR="000A2E2C" w:rsidRPr="000A2E2C" w:rsidTr="003B556A">
        <w:trPr>
          <w:trHeight w:val="452"/>
        </w:trPr>
        <w:tc>
          <w:tcPr>
            <w:tcW w:w="9072" w:type="dxa"/>
            <w:gridSpan w:val="2"/>
          </w:tcPr>
          <w:p w:rsidR="000A2E2C" w:rsidRPr="000A2E2C" w:rsidRDefault="000A2E2C" w:rsidP="000A2E2C">
            <w:pPr>
              <w:spacing w:after="0" w:line="260" w:lineRule="atLeast"/>
              <w:rPr>
                <w:rFonts w:eastAsia="Arial Unicode MS" w:cs="Times New Roman"/>
                <w:sz w:val="20"/>
                <w:szCs w:val="24"/>
              </w:rPr>
            </w:pPr>
          </w:p>
        </w:tc>
      </w:tr>
    </w:tbl>
    <w:p w:rsidR="000A2E2C" w:rsidRPr="000A2E2C" w:rsidRDefault="000A2E2C" w:rsidP="000A2E2C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6"/>
        </w:rPr>
      </w:pPr>
    </w:p>
    <w:p w:rsidR="00C80DB4" w:rsidRDefault="00C80DB4">
      <w:bookmarkStart w:id="2" w:name="_GoBack"/>
      <w:bookmarkEnd w:id="2"/>
    </w:p>
    <w:sectPr w:rsidR="00C80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3F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27263A"/>
    <w:multiLevelType w:val="hybridMultilevel"/>
    <w:tmpl w:val="8CF89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F7908"/>
    <w:multiLevelType w:val="hybridMultilevel"/>
    <w:tmpl w:val="89949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75AAC"/>
    <w:multiLevelType w:val="hybridMultilevel"/>
    <w:tmpl w:val="A2701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2C"/>
    <w:rsid w:val="000A2E2C"/>
    <w:rsid w:val="00C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1730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TNO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Meinster</dc:creator>
  <cp:lastModifiedBy>Ad Meinster</cp:lastModifiedBy>
  <cp:revision>1</cp:revision>
  <dcterms:created xsi:type="dcterms:W3CDTF">2016-11-24T13:53:00Z</dcterms:created>
  <dcterms:modified xsi:type="dcterms:W3CDTF">2016-11-24T13:54:00Z</dcterms:modified>
</cp:coreProperties>
</file>